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BA7DE2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A57EB" w:rsidRPr="009A57EB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E10B9F">
        <w:rPr>
          <w:rFonts w:ascii="Times New Roman" w:hAnsi="Times New Roman" w:cs="Times New Roman"/>
          <w:b/>
          <w:sz w:val="24"/>
          <w:szCs w:val="24"/>
          <w:lang w:val="en-US"/>
        </w:rPr>
        <w:t>M-1</w:t>
      </w:r>
      <w:r w:rsidR="00C66562" w:rsidRPr="00C66562">
        <w:rPr>
          <w:rFonts w:ascii="Times New Roman" w:hAnsi="Times New Roman" w:cs="Times New Roman"/>
          <w:b/>
          <w:sz w:val="24"/>
          <w:szCs w:val="24"/>
          <w:lang w:val="en-US"/>
        </w:rPr>
        <w:t>-36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SSO-A-0</w:t>
      </w:r>
      <w:r w:rsidR="00C66562" w:rsidRPr="00C66562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-0</w:t>
      </w:r>
      <w:r w:rsidR="00E10B9F"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T-MCC1,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A57EB" w:rsidRPr="009A57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M-1</w:t>
      </w:r>
      <w:r w:rsidR="00C66562" w:rsidRPr="00C66562">
        <w:rPr>
          <w:rFonts w:ascii="Times New Roman" w:hAnsi="Times New Roman" w:cs="Times New Roman"/>
          <w:sz w:val="24"/>
          <w:szCs w:val="24"/>
          <w:lang w:val="en-US"/>
        </w:rPr>
        <w:t>-36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The light can be mounted indoors and outdoors. 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="00C66562" w:rsidRPr="00C66562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C66562" w:rsidRPr="00C66562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±10%) Hz or </w:t>
      </w:r>
      <w:r w:rsidR="00C66562" w:rsidRPr="00C66562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C66562" w:rsidRPr="00C66562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C66562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C66562" w:rsidRDefault="00F314CB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9A57EB">
              <w:rPr>
                <w:rFonts w:ascii="Times New Roman" w:hAnsi="Times New Roman" w:cs="Times New Roman"/>
                <w:sz w:val="24"/>
              </w:rPr>
              <w:t>8</w:t>
            </w:r>
            <w:r w:rsidR="00E10B9F">
              <w:rPr>
                <w:rFonts w:ascii="Times New Roman" w:hAnsi="Times New Roman" w:cs="Times New Roman"/>
                <w:sz w:val="24"/>
                <w:lang w:val="en-US"/>
              </w:rPr>
              <w:t>M-1</w:t>
            </w:r>
            <w:r w:rsidR="00C66562">
              <w:rPr>
                <w:rFonts w:ascii="Times New Roman" w:hAnsi="Times New Roman" w:cs="Times New Roman"/>
                <w:sz w:val="24"/>
              </w:rPr>
              <w:t>-36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B0F55" w:rsidP="00C665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-A-0</w:t>
            </w:r>
            <w:r w:rsidR="00C66562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-0</w:t>
            </w:r>
            <w:r w:rsidR="00E10B9F">
              <w:rPr>
                <w:rFonts w:ascii="Times New Roman" w:hAnsi="Times New Roman" w:cs="Times New Roman"/>
                <w:sz w:val="24"/>
                <w:lang w:val="en-US"/>
              </w:rPr>
              <w:t>47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A57EB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9A5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A57E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Pr="00FA766B" w:rsidRDefault="007316F5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5124" w:rsidRDefault="00E10B9F" w:rsidP="00E10B9F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03980" cy="2806700"/>
            <wp:effectExtent l="19050" t="0" r="1270" b="0"/>
            <wp:docPr id="1" name="Рисунок 1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metal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fixed 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two c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lip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s, the glass is intended for a LED module, a driver and a contact device environmental protection.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84607B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84607B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84607B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84607B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84607B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84607B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84607B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84607B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84607B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12301.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>is intended for 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proofErr w:type="gramStart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>network</w:t>
      </w:r>
      <w:proofErr w:type="gramEnd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and the external grounding.</w:t>
      </w:r>
    </w:p>
    <w:p w:rsidR="00EC4655" w:rsidRPr="00EC4655" w:rsidRDefault="00EC4655" w:rsidP="00C66562">
      <w:pPr>
        <w:spacing w:after="0"/>
        <w:ind w:left="-850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C66562">
      <w:pPr>
        <w:spacing w:after="0"/>
        <w:ind w:left="-850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glass;</w:t>
      </w:r>
    </w:p>
    <w:p w:rsidR="00EC4655" w:rsidRDefault="001E3B0C" w:rsidP="00C66562">
      <w:pPr>
        <w:spacing w:after="0"/>
        <w:ind w:left="-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housing and conn</w:t>
      </w:r>
      <w:r w:rsidR="00C66562">
        <w:rPr>
          <w:rFonts w:ascii="Times New Roman" w:hAnsi="Times New Roman" w:cs="Times New Roman"/>
          <w:sz w:val="24"/>
          <w:szCs w:val="24"/>
          <w:lang w:val="en-US"/>
        </w:rPr>
        <w:t>ect it to the contact device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5877" w:rsidRDefault="003C1C3D" w:rsidP="00C66562">
      <w:pPr>
        <w:spacing w:after="0"/>
        <w:ind w:left="-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connector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125877" w:rsidP="00C66562">
      <w:pPr>
        <w:spacing w:after="0"/>
        <w:ind w:left="-850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D14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9F134A"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 w:rsidRPr="003C1C3D">
        <w:rPr>
          <w:rFonts w:ascii="Times New Roman" w:hAnsi="Times New Roman" w:cs="Times New Roman"/>
          <w:sz w:val="24"/>
          <w:szCs w:val="24"/>
          <w:lang w:val="en-US"/>
        </w:rPr>
        <w:t>in reverse order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6D14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DE2"/>
    <w:rsid w:val="0000679A"/>
    <w:rsid w:val="0001069D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C1BCD"/>
    <w:rsid w:val="003C1C3D"/>
    <w:rsid w:val="0049373B"/>
    <w:rsid w:val="004B4BE6"/>
    <w:rsid w:val="004C356F"/>
    <w:rsid w:val="004D6EF4"/>
    <w:rsid w:val="004E7C6E"/>
    <w:rsid w:val="00511C77"/>
    <w:rsid w:val="005518C2"/>
    <w:rsid w:val="005E3A02"/>
    <w:rsid w:val="00611BEC"/>
    <w:rsid w:val="00630A41"/>
    <w:rsid w:val="006C3FB4"/>
    <w:rsid w:val="006C6473"/>
    <w:rsid w:val="006C6574"/>
    <w:rsid w:val="006C70E6"/>
    <w:rsid w:val="006D1461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4607B"/>
    <w:rsid w:val="008604DD"/>
    <w:rsid w:val="008662C3"/>
    <w:rsid w:val="008A1823"/>
    <w:rsid w:val="008C6AC6"/>
    <w:rsid w:val="00966FF9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66562"/>
    <w:rsid w:val="00C757EC"/>
    <w:rsid w:val="00C93CCA"/>
    <w:rsid w:val="00CA0B69"/>
    <w:rsid w:val="00CA61ED"/>
    <w:rsid w:val="00CC3A5E"/>
    <w:rsid w:val="00CE74CB"/>
    <w:rsid w:val="00CF2281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10B9F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81CFB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1"/>
        <o:r id="V:Rule9" type="connector" idref="#_x0000_s1033"/>
        <o:r id="V:Rule10" type="connector" idref="#_x0000_s1026"/>
        <o:r id="V:Rule11" type="connector" idref="#_x0000_s1030"/>
        <o:r id="V:Rule12" type="connector" idref="#_x0000_s1027"/>
        <o:r id="V:Rule13" type="connector" idref="#_x0000_s1028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66</cp:revision>
  <dcterms:created xsi:type="dcterms:W3CDTF">2019-05-20T09:37:00Z</dcterms:created>
  <dcterms:modified xsi:type="dcterms:W3CDTF">2019-05-29T13:45:00Z</dcterms:modified>
</cp:coreProperties>
</file>